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63" w:rsidRDefault="00273163" w:rsidP="00273163">
      <w:pPr>
        <w:pStyle w:val="Overskrift1"/>
      </w:pPr>
      <w:r>
        <w:t>Vejledning til ansøgningsskema for fritagelse for bilateral margin for ikke clearede OTC-derivater:</w:t>
      </w:r>
    </w:p>
    <w:p w:rsidR="00273163" w:rsidRDefault="00273163" w:rsidP="00273163"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5134"/>
        <w:gridCol w:w="3260"/>
      </w:tblGrid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b/>
                <w:lang w:val="en-US"/>
              </w:rPr>
            </w:pPr>
            <w:r w:rsidRPr="006F24D8">
              <w:rPr>
                <w:b/>
                <w:lang w:val="en-US"/>
              </w:rPr>
              <w:t>Entry Field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jc w:val="center"/>
              <w:rPr>
                <w:b/>
                <w:lang w:val="en-US"/>
              </w:rPr>
            </w:pPr>
            <w:r w:rsidRPr="006F24D8">
              <w:rPr>
                <w:b/>
                <w:lang w:val="en-US"/>
              </w:rPr>
              <w:t>Details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Relevant </w:t>
            </w:r>
            <w:proofErr w:type="spellStart"/>
            <w:r>
              <w:rPr>
                <w:b/>
                <w:lang w:val="en-US"/>
              </w:rPr>
              <w:t>Regulering</w:t>
            </w:r>
            <w:proofErr w:type="spellEnd"/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A1-A5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A6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2(8-9) EMIR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A7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39 RTS 2016/2251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B1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3 EMIR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B2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  <w:r w:rsidRPr="006F24D8">
              <w:rPr>
                <w:lang w:val="en-US"/>
              </w:rPr>
              <w:t xml:space="preserve">This description should satisfy the requirements laid down in EMIR OTC answer 6. Note that supporting documentation </w:t>
            </w:r>
            <w:proofErr w:type="gramStart"/>
            <w:r w:rsidRPr="006F24D8">
              <w:rPr>
                <w:lang w:val="en-US"/>
              </w:rPr>
              <w:t>must be provided</w:t>
            </w:r>
            <w:proofErr w:type="gramEnd"/>
            <w:r w:rsidRPr="006F24D8">
              <w:rPr>
                <w:lang w:val="en-US"/>
              </w:rPr>
              <w:t xml:space="preserve"> under the Entry Field “G2”.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3 EMIR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B3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11(6-10) paragraph a EMIR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B4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  <w:r w:rsidRPr="006F24D8">
              <w:rPr>
                <w:lang w:val="en-US"/>
              </w:rPr>
              <w:t>Provide a description.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473A2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C1-C4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 xml:space="preserve">Article 11(5-10) paragraph b EMIR. </w:t>
            </w:r>
          </w:p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33 and 34 RTS 2016/2251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D1-D6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D7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  <w:r w:rsidRPr="006F24D8">
              <w:rPr>
                <w:lang w:val="en-US"/>
              </w:rPr>
              <w:t>If the ITG counterparty is both a Financial Counterparty or a Non-Financial Counterparty and a Third Country Entity, select the entry “Third Country Entity”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Article 2(8-9) of EMIR</w:t>
            </w:r>
          </w:p>
        </w:tc>
      </w:tr>
      <w:tr w:rsidR="00273163" w:rsidRPr="006473A2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E1-E2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  <w:r w:rsidRPr="006F24D8">
              <w:rPr>
                <w:lang w:val="en-US"/>
              </w:rPr>
              <w:t>Select the exemption for which you wish to apply/notify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E3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18(1) paragraph b RTS 149/2013</w:t>
            </w:r>
          </w:p>
        </w:tc>
      </w:tr>
      <w:tr w:rsidR="00273163" w:rsidRPr="006473A2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E4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  <w:r>
              <w:rPr>
                <w:lang w:val="en-US"/>
              </w:rPr>
              <w:t xml:space="preserve">If for instance the IGT counterparty </w:t>
            </w:r>
            <w:proofErr w:type="gramStart"/>
            <w:r>
              <w:rPr>
                <w:lang w:val="en-US"/>
              </w:rPr>
              <w:t>is</w:t>
            </w:r>
            <w:proofErr w:type="gramEnd"/>
            <w:r>
              <w:rPr>
                <w:lang w:val="en-US"/>
              </w:rPr>
              <w:t xml:space="preserve"> a FC established in Sweden, the relevant NCA to name would be “</w:t>
            </w:r>
            <w:proofErr w:type="spellStart"/>
            <w:r w:rsidRPr="00CC0588">
              <w:rPr>
                <w:lang w:val="en-US"/>
              </w:rPr>
              <w:t>Finansinspektionen</w:t>
            </w:r>
            <w:proofErr w:type="spellEnd"/>
            <w:r>
              <w:rPr>
                <w:lang w:val="en-US"/>
              </w:rPr>
              <w:t>”.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E5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3(3) paragraph a EMIR</w:t>
            </w:r>
          </w:p>
        </w:tc>
      </w:tr>
      <w:tr w:rsidR="00273163" w:rsidRPr="006473A2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E6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tabs>
                <w:tab w:val="left" w:pos="3668"/>
              </w:tabs>
              <w:rPr>
                <w:lang w:val="en-US"/>
              </w:rPr>
            </w:pPr>
            <w:r w:rsidRPr="006F24D8">
              <w:rPr>
                <w:lang w:val="en-US"/>
              </w:rPr>
              <w:t>Describe how the applicant counterparty and the intragroup counterparty are included in the same consolidations in accordance with Article 3(3)(a) of EMIR</w:t>
            </w: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E7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3(3) paragraph a EMIR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E8-E9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F1-F9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18 RTS 149/2013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 w:rsidRPr="006F24D8">
              <w:rPr>
                <w:lang w:val="en-US"/>
              </w:rPr>
              <w:t>G1-G4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  <w:r w:rsidRPr="006F24D8">
              <w:rPr>
                <w:i/>
                <w:lang w:val="en-US"/>
              </w:rPr>
              <w:t>Article 18(2) RTS 149/2013</w:t>
            </w:r>
          </w:p>
        </w:tc>
      </w:tr>
      <w:tr w:rsidR="00273163" w:rsidRPr="006F24D8" w:rsidTr="00B76F85">
        <w:tc>
          <w:tcPr>
            <w:tcW w:w="1384" w:type="dxa"/>
          </w:tcPr>
          <w:p w:rsidR="00273163" w:rsidRPr="006F24D8" w:rsidRDefault="00273163" w:rsidP="00B76F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H1-H4</w:t>
            </w:r>
          </w:p>
        </w:tc>
        <w:tc>
          <w:tcPr>
            <w:tcW w:w="5134" w:type="dxa"/>
          </w:tcPr>
          <w:p w:rsidR="00273163" w:rsidRPr="006F24D8" w:rsidRDefault="00273163" w:rsidP="00B76F85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273163" w:rsidRPr="006F24D8" w:rsidRDefault="00273163" w:rsidP="00B76F85">
            <w:pPr>
              <w:rPr>
                <w:i/>
                <w:lang w:val="en-US"/>
              </w:rPr>
            </w:pPr>
          </w:p>
        </w:tc>
      </w:tr>
    </w:tbl>
    <w:p w:rsidR="00273163" w:rsidRPr="004F5165" w:rsidRDefault="00273163" w:rsidP="00273163">
      <w:pPr>
        <w:rPr>
          <w:lang w:val="en-US"/>
        </w:rPr>
      </w:pPr>
    </w:p>
    <w:p w:rsidR="00273163" w:rsidRPr="004F5165" w:rsidRDefault="00273163" w:rsidP="00273163">
      <w:pPr>
        <w:rPr>
          <w:lang w:val="en-US"/>
        </w:rPr>
      </w:pPr>
    </w:p>
    <w:p w:rsidR="00273163" w:rsidRPr="00423B2D" w:rsidRDefault="00273163" w:rsidP="00273163"/>
    <w:p w:rsidR="001B637F" w:rsidRPr="00162184" w:rsidRDefault="001B637F" w:rsidP="00F60597"/>
    <w:sectPr w:rsidR="001B637F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2"/>
  </w:compat>
  <w:docVars>
    <w:docVar w:name="_AMO_XmlVersion" w:val="Empty"/>
  </w:docVars>
  <w:rsids>
    <w:rsidRoot w:val="00973646"/>
    <w:rsid w:val="00061655"/>
    <w:rsid w:val="000640EA"/>
    <w:rsid w:val="000E6586"/>
    <w:rsid w:val="00162184"/>
    <w:rsid w:val="001B637F"/>
    <w:rsid w:val="00205C9B"/>
    <w:rsid w:val="00273163"/>
    <w:rsid w:val="00304456"/>
    <w:rsid w:val="003A4BCE"/>
    <w:rsid w:val="003D51DF"/>
    <w:rsid w:val="0053668E"/>
    <w:rsid w:val="00603033"/>
    <w:rsid w:val="006473A2"/>
    <w:rsid w:val="007E75F4"/>
    <w:rsid w:val="008C6EE4"/>
    <w:rsid w:val="00973646"/>
    <w:rsid w:val="00A94494"/>
    <w:rsid w:val="00AD490B"/>
    <w:rsid w:val="00B27004"/>
    <w:rsid w:val="00B915A3"/>
    <w:rsid w:val="00DE5ECF"/>
    <w:rsid w:val="00EA193D"/>
    <w:rsid w:val="00F53E6F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6A0A"/>
  <w15:chartTrackingRefBased/>
  <w15:docId w15:val="{27234611-A8C8-45F4-8219-AB25F21D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63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27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21D6-D977-460C-9B86-F64F2F47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1116</Characters>
  <Application>Microsoft Office Word</Application>
  <DocSecurity>0</DocSecurity>
  <Lines>9</Lines>
  <Paragraphs>2</Paragraphs>
  <ScaleCrop>false</ScaleCrop>
  <Company>Finanstilsynet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Aleksander Wiinstedt Clausen (FT)</dc:creator>
  <cp:keywords/>
  <dc:description/>
  <cp:lastModifiedBy>Marcus Aleksander Wiinstedt Clausen (FT)</cp:lastModifiedBy>
  <cp:revision>4</cp:revision>
  <dcterms:created xsi:type="dcterms:W3CDTF">2017-03-15T11:34:00Z</dcterms:created>
  <dcterms:modified xsi:type="dcterms:W3CDTF">2017-03-21T11:43:00Z</dcterms:modified>
</cp:coreProperties>
</file>